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2ª VARA DE FAMÍLIA, ÓRFÃOS E SUCESSÕES DA CIRCUNSCRIÇÃO JUDICIÁRIA (OU COMARCA) DE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n.º: XXXXXXX-XX.XXXX.X.XX.XXXX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Guarda c/c Regulamentação de Visitas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REQUERIDO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brasileiro, solteiro, desempregado, inscrito sob o CPF de nº XXX.XXX.XXX-XX, residente e domiciliado na __________________________________________, CEP: _____________-__________, telefone: (DDD) 9 XXXX-XXXX, endereço de e-mail: __________________________________, vem, sob o patrocínio do(a) causídico(a) abaixo subscrito(a), apresentar </w:t>
      </w:r>
    </w:p>
    <w:p w:rsidR="00000000" w:rsidDel="00000000" w:rsidP="00000000" w:rsidRDefault="00000000" w:rsidRPr="00000000" w14:paraId="00000009">
      <w:pPr>
        <w:spacing w:after="120" w:before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CONTESTAÇÃO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Ação de Guarda c/c Regulamentação de Visitas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REQUERENTE,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já qualificada nos autos, o que faz nos seguintes termos.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 – DA GRATUIDADE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início, declara-se pobre, na acepção jurídica do termo, não podendo arcar com as custas, as despesas processuais e os honorários advocatícios, fazendo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GRATUIDADE DE JUSTIÇA, nos termos do artigo 5º, inciso LXXIV, da Constituição da República, e artigo 98, §1º, do Código de Processo Civil vigente.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II – BREVE RESUMO DA 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demanda em que pretende a Autora lhe seja confiada a guarda unilateral do filho comum das partes,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NOME DO FILHO EM COMUM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fruto de relacionamento mantido entre os litigantes, bem como seja definido o regime de visitações paternas. Aduziu, para tanto, que tem a guarda de fato do filho comum desde o fim da relação.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Alega que há abandono afetivo, argumentando que o pai não demonstra interesse em visitar a criança.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Regularmente citado, o Réu constituiu patrono para defender seus interesses.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a síntese do necessário.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III - DA CONTESTAÇÃO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142"/>
          <w:tab w:val="left" w:pos="1418"/>
          <w:tab w:val="left" w:pos="1701"/>
        </w:tabs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Inicialmente, necessário esclarecer que o Requerido sempre se fez presente na vida do seu filho, sempre lhe visitando, dando atenção, carinho e amparo, bem como a Autora não juntou qualquer prova contrária nos autos que desabone a conduta do Requerido, assim, não há o que se falar em abandono afetivo.</w:t>
      </w:r>
    </w:p>
    <w:p w:rsidR="00000000" w:rsidDel="00000000" w:rsidP="00000000" w:rsidRDefault="00000000" w:rsidRPr="00000000" w14:paraId="00000017">
      <w:pPr>
        <w:tabs>
          <w:tab w:val="center" w:pos="142"/>
          <w:tab w:val="left" w:pos="1418"/>
          <w:tab w:val="left" w:pos="1701"/>
        </w:tabs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Requerido pugna pela improcedência do pedido relativo à guarda unilateral pleiteada pela Demandante, pois, ao contrário do que alega a Autora, não é esta a modalidade que melhor atende aos interesses do menor, tal pretensão caminha em sentido oposto ao que diz a lei, que entende, como regra, a guarda compartilhada como aquela mais apta a permitir o integral desenvolvimento da criança.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certo que a modalidade de guarda que melhor resguarda os interesses do infante é a guarda compartilhada, por possibilitar a ambos os genitores uma participação efetiva e eficaz no processo de formação da criança. Ademais, tal modalidade também tem o objetivo de fortalecer os vínculos familiares, pois permite uma convivência simultânea com ambos os genitores, trazendo, em regra, somente benefícios aos envolvidos.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Nesse sentido, destaque-se o seguinte julgado: 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701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APELAÇÃO CÍVEL. DIREITO DE FAMÍLIA. CERCEAMENTO DE DEFESA. NÃO OCORRÊNCIA.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GUARDA COMPARTILHADA. POSSIBILIDADE. DISSENSO ENTRE OS GENITORES. SUPREMACIA DOS INTERESSES DA CRIANÇA.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SENTENÇA MANTIDA. 1. Sendo o juiz o destinatário da prova, ao reputar ter condições de prolatar a sentença, pode perfeitamente dispensá-las ou utilizar aquelas disponíveis nos autos, desde que apresente os fundamentos de sua decisão, ao teor do artigo 371 do Códex Processual de 1973 e do artigo 93, inciso IX, da Constituição da República, afastada a alegação de cerceamento de defesa. Precedentes deste eg. TJDFT.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2. O Código Civil (art. 1.583, §1º), ao definir a guarda compartilhada como sendo "a responsabilização conjunta e o exercício de direitos e deveres do pai e da mãe que não vivam sob o mesmo teto, concernentes ao poder familiar dos filhos comuns" deu ênfase ao exercício do Poder Familiar de forma conjunta. 3. Embora o consenso entre os genitores seja elemento desejável para que ambos se empenhem na satisfação dos interesses dos filhos, a ausência de animosidade não constitui pré-requisito para a implementação da guarda compartilhada, que é a regra a ser seguida, enquanto a guarda unilateral, constitui a exceção.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701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 (Acórdão n.1144875, 00045619020178070005, Relator: LEILA  ARLANCH 7ª Turma Cível, Data de Julgamento: 19/12/2018, Publicado no PJe: 07/01/2019. Pág.:  Sem Página Cadastrada.)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(grifado)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Faz-se necessário destacar, ainda, que o Requerido preza, como se espera de um bom pai, pelo pleno desenvolvimento físico e psicológico do filho, razão pela qual não abre mão de se fazer presente na vida da criança, prestando todo o suporte emocional e material necessário. </w:t>
      </w:r>
    </w:p>
    <w:p w:rsidR="00000000" w:rsidDel="00000000" w:rsidP="00000000" w:rsidRDefault="00000000" w:rsidRPr="00000000" w14:paraId="0000001D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luz de todo o exposto, é imperioso que seja julgado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improcedente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pedido de regulamentação de guarda unilateral,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estabelecendo-se, ao contrário do que pretendeu a Autora,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GUARDA COMPARTILHADA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da criança, com o lar materno como o de referência, ante a ausência de qualquer pressuposto que justifique a determinação da modalidade unilateral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 por ser esta a modalidade mais benéfica para a criança.</w:t>
      </w:r>
    </w:p>
    <w:p w:rsidR="00000000" w:rsidDel="00000000" w:rsidP="00000000" w:rsidRDefault="00000000" w:rsidRPr="00000000" w14:paraId="0000001E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IV. DAS VISITAS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tocante às visitas, diverge pontualmente o Requerido do que foi proposto pela Autora, pugnando para que, ocorrendo em finais de semana alternados, o Réu busque o menor no lar materno na sexta-feira às 20h00 e, com o intuito de proporcionar ao infante maior tempo de convívio com o pai, deixando-o no domingo às 20h00 da noite, em feriados, alternados, pegando às 9h00 da manhã, deixando-o às 20h00 do último dia do feriado.</w:t>
      </w:r>
    </w:p>
    <w:p w:rsidR="00000000" w:rsidDel="00000000" w:rsidP="00000000" w:rsidRDefault="00000000" w:rsidRPr="00000000" w14:paraId="00000021">
      <w:pPr>
        <w:spacing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VI -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todo o exposto, requer:</w:t>
      </w:r>
    </w:p>
    <w:p w:rsidR="00000000" w:rsidDel="00000000" w:rsidP="00000000" w:rsidRDefault="00000000" w:rsidRPr="00000000" w14:paraId="00000024">
      <w:pPr>
        <w:spacing w:after="120" w:before="120" w:line="360" w:lineRule="auto"/>
        <w:ind w:left="1700.7874015748032" w:firstLine="0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sejam concedidos ao Réu os benefícios da Gratuidade de Justiça, nos termos do artigo 98, §1º, do Código de Processo Civil;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360" w:lineRule="auto"/>
        <w:ind w:left="1700.7874015748032" w:firstLine="0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mérito, seja julgado IMPROCEDENTE o pedido de fixação da guarda unilateral do filho comum das partes, para confiar a ambos os genitores a GUARDA COMPARTILHADA, estabelecendo o lar materno como o de referência da criança;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360" w:lineRule="auto"/>
        <w:ind w:left="1700.7874015748032" w:firstLine="0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 tocante ao regime de visitações, a PARCIAL PROCEDÊNCIA para, fazendo-se as alterações propostas pelo Requerido, estabelecer o regime;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360" w:lineRule="auto"/>
        <w:ind w:left="1700.7874015748032" w:firstLine="0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eja a parte autora condenada ao pagamento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das custas processuais e de honorários advocatícios, no percentual de 20% do valor da causa.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360" w:lineRule="auto"/>
        <w:ind w:firstLine="1701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A">
      <w:pPr>
        <w:spacing w:before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="360" w:lineRule="auto"/>
        <w:ind w:firstLine="1701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ind w:firstLine="1701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14 de junho de 2022</w:t>
      </w:r>
    </w:p>
    <w:p w:rsidR="00000000" w:rsidDel="00000000" w:rsidP="00000000" w:rsidRDefault="00000000" w:rsidRPr="00000000" w14:paraId="00000033">
      <w:pPr>
        <w:spacing w:line="360" w:lineRule="auto"/>
        <w:ind w:left="0" w:firstLine="1700.7874015748025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-200022</wp:posOffset>
          </wp:positionH>
          <wp:positionV relativeFrom="paragraph">
            <wp:posOffset>-342897</wp:posOffset>
          </wp:positionV>
          <wp:extent cx="4762500" cy="1019175"/>
          <wp:effectExtent b="0" l="0" r="0" t="0"/>
          <wp:wrapNone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0UtsD8P0lEtjhEy+BGHRXKgow==">AMUW2mUfLUGSkkJrKunzW0CSJqkgCl29wGXDMqCpPnN0Se6oJEurxSdFhlIHNzCvVMpkYM02WWk9E5sJy3QN90lYD+qVRcvgdqamRp+DQIBAk/lOuUXimbQ=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